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30" w:rsidRPr="005322FF" w:rsidRDefault="00581130" w:rsidP="006B16F5">
      <w:pPr>
        <w:pStyle w:val="DefaultText"/>
        <w:ind w:right="42"/>
        <w:jc w:val="center"/>
        <w:rPr>
          <w:b/>
          <w:bCs/>
          <w:noProof w:val="0"/>
          <w:kern w:val="28"/>
          <w:szCs w:val="24"/>
          <w:lang w:val="ro-RO" w:eastAsia="x-none"/>
        </w:rPr>
      </w:pPr>
      <w:r w:rsidRPr="005322FF">
        <w:rPr>
          <w:b/>
          <w:bCs/>
          <w:noProof w:val="0"/>
          <w:kern w:val="28"/>
          <w:szCs w:val="24"/>
          <w:lang w:val="ro-RO" w:eastAsia="x-none"/>
        </w:rPr>
        <w:t>ACORD – CADRU DE FURNIZARE</w:t>
      </w:r>
    </w:p>
    <w:p w:rsidR="00581130" w:rsidRPr="005322FF" w:rsidRDefault="00581130" w:rsidP="00581130">
      <w:pPr>
        <w:pStyle w:val="DefaultText"/>
        <w:ind w:right="42"/>
        <w:jc w:val="center"/>
        <w:rPr>
          <w:b/>
          <w:noProof w:val="0"/>
          <w:szCs w:val="24"/>
          <w:lang w:val="ro-RO"/>
        </w:rPr>
      </w:pPr>
      <w:r w:rsidRPr="005322FF">
        <w:rPr>
          <w:b/>
          <w:noProof w:val="0"/>
          <w:szCs w:val="24"/>
          <w:lang w:val="ro-RO"/>
        </w:rPr>
        <w:t>nr. inreg. RAA ............ din data ..............</w:t>
      </w:r>
    </w:p>
    <w:p w:rsidR="00581130" w:rsidRPr="005322FF" w:rsidRDefault="00581130" w:rsidP="00581130">
      <w:pPr>
        <w:pStyle w:val="DefaultText"/>
        <w:ind w:left="-180"/>
        <w:jc w:val="both"/>
        <w:rPr>
          <w:b/>
          <w:i/>
          <w:noProof w:val="0"/>
          <w:szCs w:val="24"/>
          <w:lang w:val="ro-RO"/>
        </w:rPr>
      </w:pPr>
    </w:p>
    <w:p w:rsidR="00581130" w:rsidRPr="005322FF" w:rsidRDefault="00581130" w:rsidP="00581130">
      <w:pPr>
        <w:pStyle w:val="DefaultText"/>
        <w:ind w:left="-180"/>
        <w:jc w:val="both"/>
        <w:rPr>
          <w:b/>
          <w:i/>
          <w:noProof w:val="0"/>
          <w:szCs w:val="24"/>
          <w:lang w:val="ro-RO"/>
        </w:rPr>
      </w:pPr>
    </w:p>
    <w:p w:rsidR="00581130" w:rsidRPr="005322FF" w:rsidRDefault="00581130" w:rsidP="00581130">
      <w:pPr>
        <w:pStyle w:val="BodyText"/>
        <w:tabs>
          <w:tab w:val="left" w:pos="2694"/>
          <w:tab w:val="left" w:pos="5803"/>
        </w:tabs>
        <w:spacing w:after="0"/>
        <w:jc w:val="both"/>
        <w:rPr>
          <w:rFonts w:ascii="Times New Roman" w:hAnsi="Times New Roman"/>
          <w:sz w:val="24"/>
          <w:szCs w:val="24"/>
        </w:rPr>
      </w:pPr>
    </w:p>
    <w:p w:rsidR="00581130" w:rsidRPr="005322FF" w:rsidRDefault="00581130" w:rsidP="00581130">
      <w:pPr>
        <w:pStyle w:val="ListParagraph"/>
        <w:numPr>
          <w:ilvl w:val="0"/>
          <w:numId w:val="1"/>
        </w:numPr>
        <w:contextualSpacing w:val="0"/>
        <w:jc w:val="both"/>
        <w:rPr>
          <w:i/>
          <w:lang w:val="ro-RO"/>
        </w:rPr>
      </w:pPr>
      <w:r w:rsidRPr="005322FF">
        <w:rPr>
          <w:b/>
          <w:i/>
          <w:lang w:val="ro-RO"/>
        </w:rPr>
        <w:t>Părțile</w:t>
      </w:r>
      <w:r w:rsidRPr="005322FF">
        <w:rPr>
          <w:i/>
          <w:lang w:val="ro-RO"/>
        </w:rPr>
        <w:t>:</w:t>
      </w:r>
    </w:p>
    <w:p w:rsidR="00581130" w:rsidRPr="005322FF" w:rsidRDefault="00581130" w:rsidP="00581130">
      <w:pPr>
        <w:jc w:val="both"/>
        <w:rPr>
          <w:lang w:val="ro-RO"/>
        </w:rPr>
      </w:pPr>
      <w:r w:rsidRPr="005322FF">
        <w:rPr>
          <w:b/>
          <w:lang w:val="ro-RO"/>
        </w:rPr>
        <w:t>FUNDAȚIA ROMANIAN ANGEL APPEAL</w:t>
      </w:r>
      <w:r w:rsidRPr="005322FF">
        <w:rPr>
          <w:lang w:val="ro-RO"/>
        </w:rPr>
        <w:t xml:space="preserve"> cu sediul în Str. Rodiei nr. 52, sector 3, Bucureşti, telefon 021/3236868, fax 021/3232490 cod fiscal 7274690, cont IBAN </w:t>
      </w:r>
      <w:r w:rsidR="005322FF" w:rsidRPr="005322FF">
        <w:rPr>
          <w:lang w:val="ro-RO"/>
        </w:rPr>
        <w:t xml:space="preserve">RO52BRDE441SV31764164410 </w:t>
      </w:r>
      <w:r w:rsidRPr="005322FF">
        <w:rPr>
          <w:lang w:val="ro-RO"/>
        </w:rPr>
        <w:t xml:space="preserve">deschis la Banca BRD GSG Agenţia Calea Clărărași, reprezentată prin doamna Director General Silvia ASANDI și Director Financiar Dana MARIN, în calitate de </w:t>
      </w:r>
      <w:r w:rsidRPr="005322FF">
        <w:rPr>
          <w:b/>
          <w:lang w:val="ro-RO"/>
        </w:rPr>
        <w:t xml:space="preserve">Promitent-Achizitor </w:t>
      </w:r>
    </w:p>
    <w:p w:rsidR="00581130" w:rsidRPr="005322FF" w:rsidRDefault="00581130" w:rsidP="00581130">
      <w:pPr>
        <w:jc w:val="both"/>
        <w:rPr>
          <w:lang w:val="ro-RO"/>
        </w:rPr>
      </w:pPr>
      <w:r w:rsidRPr="005322FF">
        <w:rPr>
          <w:lang w:val="ro-RO"/>
        </w:rPr>
        <w:t xml:space="preserve">și </w:t>
      </w:r>
    </w:p>
    <w:p w:rsidR="00581130" w:rsidRPr="005322FF" w:rsidRDefault="00581130" w:rsidP="00581130">
      <w:pPr>
        <w:jc w:val="both"/>
        <w:rPr>
          <w:b/>
          <w:lang w:val="ro-RO"/>
        </w:rPr>
      </w:pPr>
    </w:p>
    <w:p w:rsidR="00581130" w:rsidRPr="005322FF" w:rsidRDefault="00581130" w:rsidP="00581130">
      <w:pPr>
        <w:jc w:val="both"/>
      </w:pPr>
      <w:r w:rsidRPr="005322FF">
        <w:rPr>
          <w:b/>
        </w:rPr>
        <w:t>……………………………</w:t>
      </w:r>
      <w:r w:rsidRPr="005322FF">
        <w:rPr>
          <w:iCs/>
        </w:rPr>
        <w:t>, cu sediul în ……………………………., număr de înmatriculare in Registrul Comertului ………………….., CUI ……………………, cont IBAN Lei ………………………………… deschis la Banca ……………………….. reprezentată prin …………………… avand functia de …………………,</w:t>
      </w:r>
      <w:r w:rsidRPr="005322FF">
        <w:t xml:space="preserve"> în calitate de </w:t>
      </w:r>
      <w:r w:rsidRPr="005322FF">
        <w:rPr>
          <w:b/>
        </w:rPr>
        <w:t>Promitent-Furnizor</w:t>
      </w:r>
      <w:r w:rsidRPr="005322FF">
        <w:t>, pe de alta parte.</w:t>
      </w:r>
    </w:p>
    <w:p w:rsidR="00581130" w:rsidRPr="005322FF" w:rsidRDefault="00581130" w:rsidP="00581130">
      <w:pPr>
        <w:autoSpaceDE w:val="0"/>
        <w:autoSpaceDN w:val="0"/>
        <w:jc w:val="both"/>
      </w:pPr>
    </w:p>
    <w:p w:rsidR="00581130" w:rsidRPr="005322FF" w:rsidRDefault="00581130" w:rsidP="00581130">
      <w:pPr>
        <w:autoSpaceDE w:val="0"/>
        <w:autoSpaceDN w:val="0"/>
        <w:jc w:val="both"/>
        <w:rPr>
          <w:bCs/>
        </w:rPr>
      </w:pPr>
      <w:r w:rsidRPr="005322FF">
        <w:t>Au convenit încheierea prezentului acord-cadru de furnizare produse in conditiile in care partile promitente raman neschimbate pe toata durata de desfasurare:</w:t>
      </w:r>
    </w:p>
    <w:p w:rsidR="00581130" w:rsidRPr="005322FF" w:rsidRDefault="00581130" w:rsidP="00581130">
      <w:pPr>
        <w:jc w:val="both"/>
        <w:rPr>
          <w:b/>
        </w:rPr>
      </w:pPr>
    </w:p>
    <w:p w:rsidR="00581130" w:rsidRPr="005322FF" w:rsidRDefault="00581130" w:rsidP="00581130">
      <w:pPr>
        <w:pStyle w:val="DefaultText"/>
        <w:jc w:val="both"/>
        <w:rPr>
          <w:b/>
          <w:i/>
          <w:noProof w:val="0"/>
          <w:szCs w:val="24"/>
          <w:lang w:val="ro-RO"/>
        </w:rPr>
      </w:pPr>
      <w:r w:rsidRPr="005322FF">
        <w:rPr>
          <w:b/>
          <w:i/>
          <w:noProof w:val="0"/>
          <w:szCs w:val="24"/>
          <w:lang w:val="ro-RO"/>
        </w:rPr>
        <w:t xml:space="preserve">2. Definiţii </w:t>
      </w:r>
    </w:p>
    <w:p w:rsidR="00581130" w:rsidRPr="005322FF" w:rsidRDefault="00581130" w:rsidP="00581130">
      <w:pPr>
        <w:pStyle w:val="DefaultText"/>
        <w:jc w:val="both"/>
        <w:rPr>
          <w:noProof w:val="0"/>
          <w:szCs w:val="24"/>
          <w:lang w:val="ro-RO"/>
        </w:rPr>
      </w:pPr>
      <w:r w:rsidRPr="005322FF">
        <w:rPr>
          <w:b/>
          <w:noProof w:val="0"/>
          <w:szCs w:val="24"/>
          <w:lang w:val="ro-RO"/>
        </w:rPr>
        <w:t>2.1</w:t>
      </w:r>
      <w:r w:rsidRPr="005322FF">
        <w:rPr>
          <w:noProof w:val="0"/>
          <w:szCs w:val="24"/>
          <w:lang w:val="ro-RO"/>
        </w:rPr>
        <w:t xml:space="preserve"> În prezentul acord-cadru urmatorii termeni vor fi interpretati astfel:</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Acord-cadru</w:t>
      </w:r>
      <w:r w:rsidRPr="005322FF">
        <w:rPr>
          <w:b/>
          <w:noProof w:val="0"/>
          <w:szCs w:val="24"/>
          <w:lang w:val="ro-RO"/>
        </w:rPr>
        <w:t xml:space="preserve"> </w:t>
      </w:r>
      <w:r w:rsidRPr="005322FF">
        <w:rPr>
          <w:noProof w:val="0"/>
          <w:szCs w:val="24"/>
          <w:lang w:val="ro-RO"/>
        </w:rPr>
        <w:t xml:space="preserve">– reprezinta prezentul acord  şi toate Anexele sale. </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Furnizor şi promitent-furnizor</w:t>
      </w:r>
      <w:r w:rsidRPr="005322FF">
        <w:rPr>
          <w:noProof w:val="0"/>
          <w:szCs w:val="24"/>
          <w:lang w:val="ro-RO"/>
        </w:rPr>
        <w:t xml:space="preserve"> - părţile contractante, aşa cum sunt acestea numite în </w:t>
      </w:r>
      <w:bookmarkStart w:id="0" w:name="_GoBack"/>
      <w:bookmarkEnd w:id="0"/>
      <w:r w:rsidRPr="005322FF">
        <w:rPr>
          <w:noProof w:val="0"/>
          <w:szCs w:val="24"/>
          <w:lang w:val="ro-RO"/>
        </w:rPr>
        <w:t>prezentul contract;</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preţul contractului</w:t>
      </w:r>
      <w:r w:rsidRPr="005322FF">
        <w:rPr>
          <w:b/>
          <w:noProof w:val="0"/>
          <w:szCs w:val="24"/>
          <w:lang w:val="ro-RO"/>
        </w:rPr>
        <w:t xml:space="preserve"> </w:t>
      </w:r>
      <w:r w:rsidRPr="005322FF">
        <w:rPr>
          <w:noProof w:val="0"/>
          <w:szCs w:val="24"/>
          <w:lang w:val="ro-RO"/>
        </w:rPr>
        <w:t>- preţul plătibil promitent-furnizorului de către promitent-achizitor, în baza acordului-cadru, pentru indeplinirea integrală şi corespunzătoare a tuturor obligaţiilor asumate prin contract;</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produse</w:t>
      </w:r>
      <w:r w:rsidRPr="005322FF">
        <w:rPr>
          <w:noProof w:val="0"/>
          <w:szCs w:val="24"/>
          <w:lang w:val="ro-RO"/>
        </w:rPr>
        <w:t xml:space="preserve"> - echipamentele, maşinile, utilajele, orice alte bunuri, cuprinse în anexa/anexele la prezentul contract, pe care promitent-furnizorul se obligă, prin contract, să le furnizeze promitent-achizitorului;</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servicii</w:t>
      </w:r>
      <w:r w:rsidRPr="005322FF">
        <w:rPr>
          <w:i/>
          <w:noProof w:val="0"/>
          <w:szCs w:val="24"/>
          <w:lang w:val="ro-RO"/>
        </w:rPr>
        <w:t xml:space="preserve"> -</w:t>
      </w:r>
      <w:r w:rsidRPr="005322FF">
        <w:rPr>
          <w:noProof w:val="0"/>
          <w:szCs w:val="24"/>
          <w:lang w:val="ro-RO"/>
        </w:rPr>
        <w:t xml:space="preserve"> servicii aferente livrării produselor, respectiv activităţi legate de furnizarea produselor, cum ar fi transportul, manevrarea, asigurarea, instalarea, punerea în funcţiune, asistenţa tehnică în perioada de garanţie, şi orice alte asemenea obligaţii  care revin promitent-furnizorului prin contract;</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origine</w:t>
      </w:r>
      <w:r w:rsidRPr="005322FF">
        <w:rPr>
          <w:b/>
          <w:noProof w:val="0"/>
          <w:szCs w:val="24"/>
          <w:lang w:val="ro-RO"/>
        </w:rPr>
        <w:t xml:space="preserve"> </w:t>
      </w:r>
      <w:r w:rsidRPr="005322FF">
        <w:rPr>
          <w:noProof w:val="0"/>
          <w:szCs w:val="24"/>
          <w:lang w:val="ro-RO"/>
        </w:rPr>
        <w:t>-</w:t>
      </w:r>
      <w:r w:rsidRPr="005322FF">
        <w:rPr>
          <w:b/>
          <w:noProof w:val="0"/>
          <w:szCs w:val="24"/>
          <w:lang w:val="ro-RO"/>
        </w:rPr>
        <w:t xml:space="preserve"> </w:t>
      </w:r>
      <w:r w:rsidRPr="005322FF">
        <w:rPr>
          <w:noProof w:val="0"/>
          <w:szCs w:val="24"/>
          <w:lang w:val="ro-RO"/>
        </w:rPr>
        <w:t>locul unde produsele au fost realizate, fabricate. Produsele sunt fabricate atunci cand prin procesul de fabricare, prelucrare sau asamblare majora şi esentiala a componentelor rezultă un produs nou, recunoscut comercial, care este diferit, prin caracteristicile sale de baza, prin scop sau prin utilitate, de componentele sale. Originea produselor şi serviciilor poate fi distinctă de nationalitateapromitent-furnizorului.</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 xml:space="preserve">destinaţie finală </w:t>
      </w:r>
      <w:r w:rsidRPr="005322FF">
        <w:rPr>
          <w:noProof w:val="0"/>
          <w:szCs w:val="24"/>
          <w:lang w:val="ro-RO"/>
        </w:rPr>
        <w:t>- locul unde promitent-furnizorul are obligaţia  de a furniza produsele;</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termenii comerciali</w:t>
      </w:r>
      <w:r w:rsidRPr="005322FF">
        <w:rPr>
          <w:noProof w:val="0"/>
          <w:szCs w:val="24"/>
          <w:lang w:val="ro-RO"/>
        </w:rPr>
        <w:t xml:space="preserve"> de livrare vor fi interpretaţi conform  INCOTERMS 2000 – Camera Internaţională de Comert (CIC).</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forţa majoră</w:t>
      </w:r>
      <w:r w:rsidRPr="005322FF">
        <w:rPr>
          <w:i/>
          <w:noProof w:val="0"/>
          <w:szCs w:val="24"/>
          <w:lang w:val="ro-RO"/>
        </w:rPr>
        <w:t xml:space="preserve"> </w:t>
      </w:r>
      <w:r w:rsidRPr="005322FF">
        <w:rPr>
          <w:noProof w:val="0"/>
          <w:szCs w:val="24"/>
          <w:lang w:val="ro-RO"/>
        </w:rPr>
        <w:t xml:space="preserve">- un eveniment mai presus de controlul părţilor, care nu se datorează greşelii sau vinei acestora, care nu putea fi prevăzut la momentul incheierii contractului şi care face imposibilă executarea şi respectiv, indeplinirea contractului; sunt considerate asemenea evenimente: războaie, revoluţii, incendii, inundaţii sau orice alte catastrofe naturale, restricţii aparute ca urmare a unei carantine, embargou, enumerarea nefiind exhaustivă ci enunţiativă. </w:t>
      </w:r>
      <w:r w:rsidRPr="005322FF">
        <w:rPr>
          <w:noProof w:val="0"/>
          <w:szCs w:val="24"/>
          <w:lang w:val="ro-RO"/>
        </w:rPr>
        <w:lastRenderedPageBreak/>
        <w:t>Nu este considerat forţă majoră un eveniment asemenea celor de mai sus care, fără a crea o imposibilitate de executare, face extrem de costisitoare executarea obligaţii lor uneia din parti;</w:t>
      </w:r>
    </w:p>
    <w:p w:rsidR="00581130" w:rsidRPr="005322FF" w:rsidRDefault="00581130" w:rsidP="00581130">
      <w:pPr>
        <w:pStyle w:val="DefaultText"/>
        <w:numPr>
          <w:ilvl w:val="3"/>
          <w:numId w:val="2"/>
        </w:numPr>
        <w:ind w:left="0" w:firstLine="0"/>
        <w:jc w:val="both"/>
        <w:rPr>
          <w:noProof w:val="0"/>
          <w:szCs w:val="24"/>
          <w:lang w:val="ro-RO"/>
        </w:rPr>
      </w:pPr>
      <w:r w:rsidRPr="005322FF">
        <w:rPr>
          <w:b/>
          <w:i/>
          <w:noProof w:val="0"/>
          <w:szCs w:val="24"/>
          <w:lang w:val="ro-RO"/>
        </w:rPr>
        <w:t>zi</w:t>
      </w:r>
      <w:r w:rsidRPr="005322FF">
        <w:rPr>
          <w:b/>
          <w:noProof w:val="0"/>
          <w:szCs w:val="24"/>
          <w:lang w:val="ro-RO"/>
        </w:rPr>
        <w:t xml:space="preserve"> </w:t>
      </w:r>
      <w:r w:rsidRPr="005322FF">
        <w:rPr>
          <w:noProof w:val="0"/>
          <w:szCs w:val="24"/>
          <w:lang w:val="ro-RO"/>
        </w:rPr>
        <w:t xml:space="preserve">- zi calendaristică; </w:t>
      </w:r>
      <w:r w:rsidRPr="005322FF">
        <w:rPr>
          <w:i/>
          <w:noProof w:val="0"/>
          <w:szCs w:val="24"/>
          <w:lang w:val="ro-RO"/>
        </w:rPr>
        <w:t>an</w:t>
      </w:r>
      <w:r w:rsidRPr="005322FF">
        <w:rPr>
          <w:noProof w:val="0"/>
          <w:szCs w:val="24"/>
          <w:lang w:val="ro-RO"/>
        </w:rPr>
        <w:t xml:space="preserve"> - 365 de zile.</w:t>
      </w:r>
    </w:p>
    <w:p w:rsidR="00581130" w:rsidRPr="005322FF" w:rsidRDefault="00581130" w:rsidP="00581130">
      <w:pPr>
        <w:pStyle w:val="DefaultText"/>
        <w:jc w:val="both"/>
        <w:rPr>
          <w:b/>
          <w:noProof w:val="0"/>
          <w:szCs w:val="24"/>
          <w:lang w:val="ro-RO"/>
        </w:rPr>
      </w:pPr>
    </w:p>
    <w:p w:rsidR="00581130" w:rsidRPr="005322FF" w:rsidRDefault="00581130" w:rsidP="00581130">
      <w:pPr>
        <w:pStyle w:val="DefaultText"/>
        <w:jc w:val="both"/>
        <w:rPr>
          <w:b/>
          <w:noProof w:val="0"/>
          <w:szCs w:val="24"/>
          <w:lang w:val="ro-RO"/>
        </w:rPr>
      </w:pPr>
      <w:r w:rsidRPr="005322FF">
        <w:rPr>
          <w:b/>
          <w:noProof w:val="0"/>
          <w:szCs w:val="24"/>
          <w:lang w:val="ro-RO"/>
        </w:rPr>
        <w:t xml:space="preserve">3. </w:t>
      </w:r>
      <w:r w:rsidRPr="005322FF">
        <w:rPr>
          <w:b/>
          <w:i/>
          <w:noProof w:val="0"/>
          <w:szCs w:val="24"/>
          <w:lang w:val="ro-RO"/>
        </w:rPr>
        <w:t>Interpretare</w:t>
      </w:r>
    </w:p>
    <w:p w:rsidR="00581130" w:rsidRPr="005322FF" w:rsidRDefault="00581130" w:rsidP="00581130">
      <w:pPr>
        <w:pStyle w:val="DefaultText"/>
        <w:jc w:val="both"/>
        <w:rPr>
          <w:noProof w:val="0"/>
          <w:szCs w:val="24"/>
          <w:lang w:val="ro-RO"/>
        </w:rPr>
      </w:pPr>
      <w:r w:rsidRPr="005322FF">
        <w:rPr>
          <w:b/>
          <w:noProof w:val="0"/>
          <w:szCs w:val="24"/>
          <w:lang w:val="ro-RO"/>
        </w:rPr>
        <w:t xml:space="preserve">3.1 </w:t>
      </w:r>
      <w:r w:rsidRPr="005322FF">
        <w:rPr>
          <w:noProof w:val="0"/>
          <w:szCs w:val="24"/>
          <w:lang w:val="ro-RO"/>
        </w:rPr>
        <w:t>În prezentul acord-cadru, cu excepţia unei prevederi contrare cuvintele la forma singular vor include forma de plural şi vice versa, acolo unde acest lucru este permis de context.</w:t>
      </w:r>
    </w:p>
    <w:p w:rsidR="00581130" w:rsidRPr="005322FF" w:rsidRDefault="00581130" w:rsidP="00581130">
      <w:pPr>
        <w:pStyle w:val="DefaultText"/>
        <w:jc w:val="both"/>
        <w:rPr>
          <w:noProof w:val="0"/>
          <w:szCs w:val="24"/>
          <w:lang w:val="ro-RO"/>
        </w:rPr>
      </w:pPr>
      <w:r w:rsidRPr="005322FF">
        <w:rPr>
          <w:b/>
          <w:noProof w:val="0"/>
          <w:szCs w:val="24"/>
          <w:lang w:val="ro-RO"/>
        </w:rPr>
        <w:t xml:space="preserve">3.2 </w:t>
      </w:r>
      <w:r w:rsidRPr="005322FF">
        <w:rPr>
          <w:noProof w:val="0"/>
          <w:szCs w:val="24"/>
          <w:lang w:val="ro-RO"/>
        </w:rPr>
        <w:t>Termenul “zi” sau “zile” sau orice referire la zile reprezintă zile calendaristice dacă nu se specifică în mod diferit.</w:t>
      </w:r>
    </w:p>
    <w:p w:rsidR="00581130" w:rsidRPr="005322FF" w:rsidRDefault="00581130" w:rsidP="00581130">
      <w:pPr>
        <w:pStyle w:val="DefaultText"/>
        <w:jc w:val="both"/>
        <w:rPr>
          <w:b/>
          <w:i/>
          <w:noProof w:val="0"/>
          <w:szCs w:val="24"/>
          <w:lang w:val="ro-RO"/>
        </w:rPr>
      </w:pPr>
    </w:p>
    <w:p w:rsidR="00581130" w:rsidRPr="005322FF" w:rsidRDefault="00581130" w:rsidP="00581130">
      <w:pPr>
        <w:pStyle w:val="DefaultText"/>
        <w:jc w:val="both"/>
        <w:rPr>
          <w:b/>
          <w:i/>
          <w:noProof w:val="0"/>
          <w:szCs w:val="24"/>
          <w:lang w:val="ro-RO"/>
        </w:rPr>
      </w:pPr>
      <w:r w:rsidRPr="005322FF">
        <w:rPr>
          <w:b/>
          <w:i/>
          <w:noProof w:val="0"/>
          <w:szCs w:val="24"/>
          <w:lang w:val="ro-RO"/>
        </w:rPr>
        <w:t xml:space="preserve">4. Obiectul principal al contractului  </w:t>
      </w:r>
    </w:p>
    <w:p w:rsidR="00581130" w:rsidRPr="005322FF" w:rsidRDefault="00581130" w:rsidP="00581130">
      <w:pPr>
        <w:pStyle w:val="DefaultText"/>
        <w:jc w:val="both"/>
        <w:rPr>
          <w:i/>
          <w:noProof w:val="0"/>
          <w:szCs w:val="24"/>
          <w:lang w:val="ro-RO"/>
        </w:rPr>
      </w:pPr>
      <w:r w:rsidRPr="005322FF">
        <w:rPr>
          <w:b/>
          <w:szCs w:val="24"/>
          <w:lang w:val="ro-RO"/>
        </w:rPr>
        <w:t xml:space="preserve">4.1 </w:t>
      </w:r>
      <w:r w:rsidRPr="005322FF">
        <w:rPr>
          <w:szCs w:val="24"/>
          <w:lang w:val="ro-RO"/>
        </w:rPr>
        <w:t>Promitent-furnizorul se obligă să furnizeze produsele în conformitate cu prevederile  condițiile calitative și cantitative și în condițiile și termenii conveniți în prezentul contract și în conformitate cu obligațiile asumate prin prezentul contract. În cazul în care promitent-furnizorul nu poate furniza produsele, în conformitate cu prevederile, condițiile calitative și cantitative prevăzute și în condițiile și termenii conveniți în prezentul contract și în conformitate cu obligațiile asumate prin prezentul contract, Beneficiarul poate solicita rezilierea contractului cu plata de daune interese de către promitent-furnizor.</w:t>
      </w:r>
    </w:p>
    <w:p w:rsidR="00581130" w:rsidRPr="005322FF" w:rsidRDefault="00581130" w:rsidP="00581130">
      <w:pPr>
        <w:jc w:val="both"/>
      </w:pPr>
      <w:r w:rsidRPr="005322FF">
        <w:rPr>
          <w:b/>
        </w:rPr>
        <w:t>4.2</w:t>
      </w:r>
      <w:r w:rsidRPr="005322FF">
        <w:t xml:space="preserve"> Promitent-Achizitorul se obligă să achiziționeze, respectiv să cumpere şi să plătească tariful unitar convenit în prezentul acord-cadru.  </w:t>
      </w:r>
    </w:p>
    <w:p w:rsidR="00581130" w:rsidRPr="005322FF" w:rsidRDefault="00581130" w:rsidP="00581130">
      <w:pPr>
        <w:jc w:val="both"/>
      </w:pPr>
    </w:p>
    <w:p w:rsidR="00581130" w:rsidRPr="005322FF" w:rsidRDefault="00581130" w:rsidP="00581130">
      <w:pPr>
        <w:jc w:val="both"/>
      </w:pPr>
    </w:p>
    <w:p w:rsidR="00581130" w:rsidRPr="005322FF" w:rsidRDefault="00581130" w:rsidP="00581130">
      <w:pPr>
        <w:jc w:val="both"/>
      </w:pPr>
    </w:p>
    <w:p w:rsidR="00581130" w:rsidRPr="005322FF" w:rsidRDefault="00581130" w:rsidP="00581130">
      <w:pPr>
        <w:jc w:val="both"/>
        <w:rPr>
          <w:b/>
          <w:i/>
        </w:rPr>
      </w:pPr>
      <w:r w:rsidRPr="005322FF">
        <w:rPr>
          <w:b/>
          <w:i/>
        </w:rPr>
        <w:t>5. Prețul acordului-cadru</w:t>
      </w:r>
    </w:p>
    <w:p w:rsidR="00581130" w:rsidRPr="005322FF" w:rsidRDefault="00581130" w:rsidP="00581130">
      <w:pPr>
        <w:jc w:val="both"/>
      </w:pPr>
      <w:r w:rsidRPr="005322FF">
        <w:rPr>
          <w:b/>
        </w:rPr>
        <w:t xml:space="preserve">5.1. </w:t>
      </w:r>
      <w:r w:rsidRPr="005322FF">
        <w:t>Tarifele unitare ale produselor sunt prevazute in anexa 2 la Acordul Cadru, dar in corelație directă cu comenzile plasate, onorate și acceptate la livrare de către Promitent-Achizitor.</w:t>
      </w:r>
    </w:p>
    <w:p w:rsidR="00581130" w:rsidRPr="005322FF" w:rsidRDefault="00581130" w:rsidP="00581130">
      <w:pPr>
        <w:pStyle w:val="DefaultText"/>
        <w:jc w:val="both"/>
        <w:rPr>
          <w:szCs w:val="24"/>
          <w:lang w:val="ro-RO"/>
        </w:rPr>
      </w:pPr>
      <w:r w:rsidRPr="005322FF">
        <w:rPr>
          <w:b/>
          <w:szCs w:val="24"/>
          <w:lang w:val="ro-RO"/>
        </w:rPr>
        <w:t>5.2.</w:t>
      </w:r>
      <w:r w:rsidRPr="005322FF">
        <w:rPr>
          <w:szCs w:val="24"/>
          <w:lang w:val="ro-RO"/>
        </w:rPr>
        <w:t xml:space="preserve"> În termen de 3 zile de la livrarea produselor se va emite factura aferentă livrării. Factura aferentă livrărilor efectuate de către promitent-furnizor va fi achitată în termen de maxim 30 zile de la </w:t>
      </w:r>
      <w:r w:rsidRPr="005322FF">
        <w:rPr>
          <w:szCs w:val="24"/>
          <w:lang w:val="fr-FR"/>
        </w:rPr>
        <w:t xml:space="preserve">data primirii ei în original din bugetul proiectului </w:t>
      </w:r>
      <w:r w:rsidR="005322FF" w:rsidRPr="005322FF">
        <w:rPr>
          <w:szCs w:val="24"/>
          <w:lang w:val="fr-FR"/>
        </w:rPr>
        <w:t xml:space="preserve">ARAS, cu </w:t>
      </w:r>
      <w:r w:rsidR="008327B5" w:rsidRPr="00C1592B">
        <w:rPr>
          <w:szCs w:val="24"/>
          <w:lang w:val="fr-FR"/>
        </w:rPr>
        <w:t>finanta</w:t>
      </w:r>
      <w:r w:rsidR="005322FF" w:rsidRPr="00C1592B">
        <w:rPr>
          <w:szCs w:val="24"/>
          <w:lang w:val="fr-FR"/>
        </w:rPr>
        <w:t>re</w:t>
      </w:r>
      <w:r w:rsidR="008327B5" w:rsidRPr="00C1592B">
        <w:rPr>
          <w:szCs w:val="24"/>
          <w:lang w:val="fr-FR"/>
        </w:rPr>
        <w:t xml:space="preserve"> de </w:t>
      </w:r>
      <w:r w:rsidR="005322FF" w:rsidRPr="00C1592B">
        <w:rPr>
          <w:szCs w:val="24"/>
          <w:lang w:val="fr-FR"/>
        </w:rPr>
        <w:t xml:space="preserve">la </w:t>
      </w:r>
      <w:r w:rsidR="008327B5" w:rsidRPr="00C1592B">
        <w:rPr>
          <w:rStyle w:val="Strong"/>
          <w:b w:val="0"/>
          <w:szCs w:val="24"/>
          <w:lang w:val="en"/>
        </w:rPr>
        <w:t>Fondul Global de Lupta Impotriva HIV/SIDA, Tuberculozei si Malariei, Grantul NFM (New Funding Model)</w:t>
      </w:r>
      <w:r w:rsidR="008327B5" w:rsidRPr="005322FF">
        <w:rPr>
          <w:rStyle w:val="Strong"/>
          <w:b w:val="0"/>
          <w:szCs w:val="24"/>
          <w:lang w:val="en"/>
        </w:rPr>
        <w:t>.</w:t>
      </w:r>
    </w:p>
    <w:p w:rsidR="006B16F5" w:rsidRPr="005322FF" w:rsidRDefault="006B16F5" w:rsidP="006B16F5">
      <w:pPr>
        <w:jc w:val="both"/>
        <w:rPr>
          <w:b/>
        </w:rPr>
      </w:pPr>
    </w:p>
    <w:p w:rsidR="00581130" w:rsidRPr="005322FF" w:rsidRDefault="00581130" w:rsidP="00581130">
      <w:pPr>
        <w:jc w:val="both"/>
        <w:rPr>
          <w:b/>
          <w:i/>
        </w:rPr>
      </w:pPr>
      <w:r w:rsidRPr="005322FF">
        <w:rPr>
          <w:b/>
          <w:i/>
        </w:rPr>
        <w:t>6. Durata acordului-cadru</w:t>
      </w:r>
    </w:p>
    <w:p w:rsidR="00581130" w:rsidRPr="005322FF" w:rsidRDefault="00581130" w:rsidP="00581130">
      <w:pPr>
        <w:jc w:val="both"/>
      </w:pPr>
      <w:r w:rsidRPr="005322FF">
        <w:rPr>
          <w:b/>
        </w:rPr>
        <w:t>6.1.</w:t>
      </w:r>
      <w:r w:rsidRPr="005322FF">
        <w:t xml:space="preserve"> Prezentul acord-cadru începe să își producă efectele o dată cu semnarea acestuia, și încetează </w:t>
      </w:r>
      <w:r w:rsidRPr="00C1592B">
        <w:t xml:space="preserve">să producă efecte </w:t>
      </w:r>
      <w:r w:rsidR="005322FF" w:rsidRPr="00C1592B">
        <w:t>nu mai tarziu de</w:t>
      </w:r>
      <w:r w:rsidR="00F848DB" w:rsidRPr="00C1592B">
        <w:t xml:space="preserve"> 31.12.2017.</w:t>
      </w:r>
    </w:p>
    <w:p w:rsidR="00581130" w:rsidRPr="005322FF" w:rsidRDefault="00581130" w:rsidP="00581130">
      <w:pPr>
        <w:jc w:val="both"/>
      </w:pPr>
    </w:p>
    <w:p w:rsidR="00581130" w:rsidRPr="005322FF" w:rsidRDefault="00581130" w:rsidP="00581130">
      <w:pPr>
        <w:jc w:val="both"/>
        <w:rPr>
          <w:b/>
          <w:lang w:val="es-ES"/>
        </w:rPr>
      </w:pPr>
      <w:r w:rsidRPr="005322FF">
        <w:rPr>
          <w:b/>
          <w:lang w:val="es-ES"/>
        </w:rPr>
        <w:t>7. Ajustarea preţului</w:t>
      </w:r>
    </w:p>
    <w:p w:rsidR="00581130" w:rsidRPr="005322FF" w:rsidRDefault="00581130" w:rsidP="00581130">
      <w:pPr>
        <w:jc w:val="both"/>
        <w:rPr>
          <w:lang w:val="es-ES"/>
        </w:rPr>
      </w:pPr>
      <w:r w:rsidRPr="005322FF">
        <w:rPr>
          <w:lang w:val="es-ES"/>
        </w:rPr>
        <w:t>7.1. Pentru produsele furnizate, platile datorate de promitentul-achizitor, promitentului-furnizor sunt cele declarate in propunerea financiara, anexa la prezentul acord-cadru.</w:t>
      </w:r>
    </w:p>
    <w:p w:rsidR="00581130" w:rsidRPr="005322FF" w:rsidRDefault="00581130" w:rsidP="00581130">
      <w:pPr>
        <w:jc w:val="both"/>
        <w:rPr>
          <w:lang w:val="es-ES"/>
        </w:rPr>
      </w:pPr>
      <w:r w:rsidRPr="005322FF">
        <w:rPr>
          <w:bCs/>
          <w:lang w:val="es-ES"/>
        </w:rPr>
        <w:t>7.2.</w:t>
      </w:r>
      <w:r w:rsidRPr="005322FF">
        <w:rPr>
          <w:b/>
          <w:bCs/>
          <w:lang w:val="es-ES"/>
        </w:rPr>
        <w:t xml:space="preserve"> </w:t>
      </w:r>
      <w:r w:rsidRPr="005322FF">
        <w:rPr>
          <w:lang w:val="es-ES"/>
        </w:rPr>
        <w:t>Preturile unitare, aferente prezentului acord-cadru, prevazute in oferta promitentului-furnizor raman neschimbate pe durata contractelor subsecvente ce vor fi incheiate in baza prezentului acord-cadru.</w:t>
      </w:r>
    </w:p>
    <w:p w:rsidR="00581130" w:rsidRPr="005322FF" w:rsidRDefault="00581130" w:rsidP="00581130">
      <w:pPr>
        <w:pStyle w:val="Char"/>
        <w:rPr>
          <w:rFonts w:ascii="Times New Roman" w:hAnsi="Times New Roman"/>
          <w:b/>
          <w:lang w:val="es-ES_tradnl"/>
        </w:rPr>
      </w:pPr>
    </w:p>
    <w:p w:rsidR="00581130" w:rsidRPr="005322FF" w:rsidRDefault="00581130" w:rsidP="00581130">
      <w:pPr>
        <w:pStyle w:val="Char"/>
        <w:rPr>
          <w:rFonts w:ascii="Times New Roman" w:hAnsi="Times New Roman"/>
          <w:b/>
          <w:lang w:val="es-ES_tradnl"/>
        </w:rPr>
      </w:pPr>
      <w:r w:rsidRPr="005322FF">
        <w:rPr>
          <w:rFonts w:ascii="Times New Roman" w:hAnsi="Times New Roman"/>
          <w:b/>
          <w:lang w:val="es-ES_tradnl"/>
        </w:rPr>
        <w:t>8</w:t>
      </w:r>
      <w:r w:rsidRPr="005322FF">
        <w:rPr>
          <w:rFonts w:ascii="Times New Roman" w:hAnsi="Times New Roman"/>
          <w:lang w:val="es-ES_tradnl"/>
        </w:rPr>
        <w:t xml:space="preserve"> </w:t>
      </w:r>
      <w:r w:rsidRPr="005322FF">
        <w:rPr>
          <w:rFonts w:ascii="Times New Roman" w:hAnsi="Times New Roman"/>
          <w:b/>
          <w:lang w:val="es-ES_tradnl"/>
        </w:rPr>
        <w:t>Emiterea, semnarea şi executarea contractelor subsecvente</w:t>
      </w:r>
    </w:p>
    <w:p w:rsidR="00581130" w:rsidRPr="005322FF" w:rsidRDefault="00581130" w:rsidP="00581130">
      <w:pPr>
        <w:pStyle w:val="Char"/>
        <w:rPr>
          <w:rFonts w:ascii="Times New Roman" w:hAnsi="Times New Roman"/>
          <w:lang w:val="es-ES_tradnl"/>
        </w:rPr>
      </w:pPr>
      <w:r w:rsidRPr="005322FF">
        <w:rPr>
          <w:rFonts w:ascii="Times New Roman" w:hAnsi="Times New Roman"/>
          <w:lang w:val="es-ES_tradnl"/>
        </w:rPr>
        <w:t>8.1. Emiterea contractelor subsecvente este in sarcina promitentului-achizitor.</w:t>
      </w:r>
    </w:p>
    <w:p w:rsidR="00581130" w:rsidRPr="005322FF" w:rsidRDefault="00581130" w:rsidP="00581130">
      <w:pPr>
        <w:pStyle w:val="Char"/>
        <w:jc w:val="both"/>
        <w:rPr>
          <w:rFonts w:ascii="Times New Roman" w:hAnsi="Times New Roman"/>
          <w:lang w:val="fr-FR"/>
        </w:rPr>
      </w:pPr>
      <w:r w:rsidRPr="005322FF">
        <w:rPr>
          <w:rFonts w:ascii="Times New Roman" w:hAnsi="Times New Roman"/>
          <w:lang w:val="fr-FR"/>
        </w:rPr>
        <w:t>8.2. Promitentul-achizitor are obligaţia sa-l notifice pe promitentul-furnizor ori de cate ori intentioneaza sa achiziţioneze produsele.</w:t>
      </w:r>
    </w:p>
    <w:p w:rsidR="00581130" w:rsidRPr="005322FF" w:rsidRDefault="00581130" w:rsidP="00581130">
      <w:pPr>
        <w:jc w:val="both"/>
        <w:rPr>
          <w:b/>
          <w:lang w:val="fr-FR"/>
        </w:rPr>
      </w:pPr>
      <w:r w:rsidRPr="005322FF">
        <w:rPr>
          <w:lang w:val="fr-FR"/>
        </w:rPr>
        <w:lastRenderedPageBreak/>
        <w:t xml:space="preserve">8.3.Promitentul-furnizor este obligat ca in termen de 15 zile de la primirea notificarii transmise prin fax de catre promitentul-achizitor sa se prezinte la sediul acestuia pentru semnarea contractului subsecvent. </w:t>
      </w:r>
    </w:p>
    <w:p w:rsidR="00581130" w:rsidRPr="005322FF" w:rsidRDefault="00581130" w:rsidP="00581130">
      <w:pPr>
        <w:jc w:val="both"/>
        <w:rPr>
          <w:b/>
          <w:lang w:val="es-ES"/>
        </w:rPr>
      </w:pPr>
    </w:p>
    <w:p w:rsidR="00581130" w:rsidRPr="005322FF" w:rsidRDefault="00581130" w:rsidP="00581130">
      <w:pPr>
        <w:jc w:val="both"/>
        <w:rPr>
          <w:b/>
          <w:lang w:val="es-ES"/>
        </w:rPr>
      </w:pPr>
      <w:r w:rsidRPr="005322FF">
        <w:rPr>
          <w:b/>
          <w:lang w:val="es-ES"/>
        </w:rPr>
        <w:t>9. Comunicari</w:t>
      </w:r>
    </w:p>
    <w:p w:rsidR="00581130" w:rsidRPr="005322FF" w:rsidRDefault="00581130" w:rsidP="00581130">
      <w:pPr>
        <w:jc w:val="both"/>
        <w:rPr>
          <w:lang w:val="es-ES"/>
        </w:rPr>
      </w:pPr>
      <w:r w:rsidRPr="005322FF">
        <w:rPr>
          <w:lang w:val="es-ES"/>
        </w:rPr>
        <w:t>9.1. (1) Orice comunicare intre părti, referitoare la indeplinirea prezentului acord-cadru, trebuie sa fie transmisă in scris.</w:t>
      </w:r>
    </w:p>
    <w:p w:rsidR="00581130" w:rsidRPr="005322FF" w:rsidRDefault="00581130" w:rsidP="00581130">
      <w:pPr>
        <w:jc w:val="both"/>
        <w:rPr>
          <w:lang w:val="es-ES"/>
        </w:rPr>
      </w:pPr>
      <w:r w:rsidRPr="005322FF">
        <w:rPr>
          <w:lang w:val="es-ES"/>
        </w:rPr>
        <w:t>(2) Orice document scris trebuie inregistrat atat in momentul transmiterii cat si in momentul primirii.</w:t>
      </w:r>
    </w:p>
    <w:p w:rsidR="00581130" w:rsidRPr="005322FF" w:rsidRDefault="00581130" w:rsidP="00581130">
      <w:pPr>
        <w:jc w:val="both"/>
        <w:rPr>
          <w:lang w:val="es-ES"/>
        </w:rPr>
      </w:pPr>
      <w:r w:rsidRPr="005322FF">
        <w:rPr>
          <w:lang w:val="es-ES"/>
        </w:rPr>
        <w:t>9.2. Comunicarile intre parti se pot face si prin telefon, fax sau e-mail cu conditia confirmarii in scris a primirii comunicarii.</w:t>
      </w:r>
    </w:p>
    <w:p w:rsidR="00581130" w:rsidRPr="005322FF" w:rsidRDefault="00581130" w:rsidP="00581130">
      <w:pPr>
        <w:autoSpaceDE w:val="0"/>
        <w:autoSpaceDN w:val="0"/>
        <w:adjustRightInd w:val="0"/>
        <w:jc w:val="both"/>
        <w:rPr>
          <w:b/>
          <w:bCs/>
          <w:color w:val="000000"/>
          <w:lang w:val="es-ES_tradnl"/>
        </w:rPr>
      </w:pPr>
    </w:p>
    <w:p w:rsidR="00581130" w:rsidRPr="005322FF" w:rsidRDefault="00581130" w:rsidP="00581130">
      <w:pPr>
        <w:autoSpaceDE w:val="0"/>
        <w:autoSpaceDN w:val="0"/>
        <w:adjustRightInd w:val="0"/>
        <w:jc w:val="both"/>
        <w:rPr>
          <w:b/>
          <w:bCs/>
          <w:color w:val="000000"/>
          <w:lang w:val="es-ES_tradnl"/>
        </w:rPr>
      </w:pPr>
      <w:r w:rsidRPr="005322FF">
        <w:rPr>
          <w:b/>
          <w:bCs/>
          <w:color w:val="000000"/>
          <w:lang w:val="es-ES_tradnl"/>
        </w:rPr>
        <w:t xml:space="preserve">10. Documentele acordului-cadru </w:t>
      </w:r>
    </w:p>
    <w:p w:rsidR="00581130" w:rsidRPr="005322FF" w:rsidRDefault="00581130" w:rsidP="00581130">
      <w:pPr>
        <w:autoSpaceDE w:val="0"/>
        <w:autoSpaceDN w:val="0"/>
        <w:adjustRightInd w:val="0"/>
        <w:jc w:val="both"/>
        <w:rPr>
          <w:color w:val="000000"/>
          <w:lang w:val="es-ES_tradnl"/>
        </w:rPr>
      </w:pPr>
      <w:r w:rsidRPr="005322FF">
        <w:rPr>
          <w:bCs/>
          <w:color w:val="000000"/>
          <w:lang w:val="es-ES_tradnl"/>
        </w:rPr>
        <w:t>10.1.</w:t>
      </w:r>
      <w:r w:rsidRPr="005322FF">
        <w:rPr>
          <w:b/>
          <w:bCs/>
          <w:color w:val="000000"/>
          <w:lang w:val="es-ES_tradnl"/>
        </w:rPr>
        <w:t xml:space="preserve"> </w:t>
      </w:r>
      <w:r w:rsidRPr="005322FF">
        <w:rPr>
          <w:color w:val="000000"/>
          <w:lang w:val="es-ES_tradnl"/>
        </w:rPr>
        <w:t xml:space="preserve"> Documentele acordului-cadru sunt: </w:t>
      </w:r>
    </w:p>
    <w:p w:rsidR="00581130" w:rsidRPr="005322FF" w:rsidRDefault="00581130" w:rsidP="00581130">
      <w:pPr>
        <w:autoSpaceDE w:val="0"/>
        <w:autoSpaceDN w:val="0"/>
        <w:adjustRightInd w:val="0"/>
        <w:jc w:val="both"/>
        <w:rPr>
          <w:color w:val="000000"/>
          <w:lang w:val="es-ES_tradnl"/>
        </w:rPr>
      </w:pPr>
      <w:r w:rsidRPr="005322FF">
        <w:rPr>
          <w:color w:val="000000"/>
          <w:lang w:val="es-ES_tradnl"/>
        </w:rPr>
        <w:t xml:space="preserve">- acte adiţionale, dacă părţile vor semna astfel de documente în timpul derulării acordului-cadru; </w:t>
      </w:r>
    </w:p>
    <w:p w:rsidR="00581130" w:rsidRPr="005322FF" w:rsidRDefault="00581130" w:rsidP="00581130">
      <w:pPr>
        <w:autoSpaceDE w:val="0"/>
        <w:autoSpaceDN w:val="0"/>
        <w:adjustRightInd w:val="0"/>
        <w:jc w:val="both"/>
        <w:rPr>
          <w:color w:val="000000"/>
          <w:lang w:val="es-ES_tradnl"/>
        </w:rPr>
      </w:pPr>
      <w:r w:rsidRPr="005322FF">
        <w:rPr>
          <w:color w:val="000000"/>
          <w:lang w:val="es-ES_tradnl"/>
        </w:rPr>
        <w:t xml:space="preserve">- propunerea tehnica-Anexa 1; </w:t>
      </w:r>
    </w:p>
    <w:p w:rsidR="00581130" w:rsidRPr="005322FF" w:rsidRDefault="00581130" w:rsidP="00581130">
      <w:pPr>
        <w:autoSpaceDE w:val="0"/>
        <w:autoSpaceDN w:val="0"/>
        <w:adjustRightInd w:val="0"/>
        <w:jc w:val="both"/>
        <w:rPr>
          <w:color w:val="000000"/>
          <w:lang w:val="es-ES_tradnl"/>
        </w:rPr>
      </w:pPr>
      <w:r w:rsidRPr="005322FF">
        <w:rPr>
          <w:color w:val="000000"/>
          <w:lang w:val="es-ES_tradnl"/>
        </w:rPr>
        <w:t xml:space="preserve">- propunerea financiara-Anexa 2; </w:t>
      </w:r>
    </w:p>
    <w:p w:rsidR="00581130" w:rsidRPr="005322FF" w:rsidRDefault="00581130" w:rsidP="00581130">
      <w:pPr>
        <w:autoSpaceDE w:val="0"/>
        <w:autoSpaceDN w:val="0"/>
        <w:adjustRightInd w:val="0"/>
        <w:jc w:val="both"/>
        <w:rPr>
          <w:lang w:val="ro-RO"/>
        </w:rPr>
      </w:pPr>
      <w:r w:rsidRPr="005322FF">
        <w:rPr>
          <w:lang w:val="ro-RO"/>
        </w:rPr>
        <w:t>10.2. Orice contradicţie ivită între documentele contractului se va rezolva prin aplicarea ordinei de prioritate stabilită la art.10.1.</w:t>
      </w:r>
    </w:p>
    <w:p w:rsidR="00581130" w:rsidRPr="005322FF" w:rsidRDefault="00581130" w:rsidP="00581130">
      <w:pPr>
        <w:overflowPunct w:val="0"/>
        <w:autoSpaceDE w:val="0"/>
        <w:autoSpaceDN w:val="0"/>
        <w:adjustRightInd w:val="0"/>
        <w:ind w:right="333"/>
        <w:jc w:val="both"/>
        <w:textAlignment w:val="baseline"/>
        <w:rPr>
          <w:b/>
          <w:lang w:val="es-ES_tradnl" w:eastAsia="ro-RO"/>
        </w:rPr>
      </w:pPr>
    </w:p>
    <w:p w:rsidR="00581130" w:rsidRPr="005322FF" w:rsidRDefault="00581130" w:rsidP="00581130">
      <w:pPr>
        <w:overflowPunct w:val="0"/>
        <w:autoSpaceDE w:val="0"/>
        <w:autoSpaceDN w:val="0"/>
        <w:adjustRightInd w:val="0"/>
        <w:ind w:right="333"/>
        <w:jc w:val="both"/>
        <w:textAlignment w:val="baseline"/>
        <w:rPr>
          <w:b/>
          <w:lang w:val="es-ES_tradnl" w:eastAsia="ro-RO"/>
        </w:rPr>
      </w:pPr>
      <w:r w:rsidRPr="005322FF">
        <w:rPr>
          <w:b/>
          <w:lang w:val="es-ES_tradnl" w:eastAsia="ro-RO"/>
        </w:rPr>
        <w:t>11. Rezilierea şi încetarea acordului-cadru</w:t>
      </w:r>
    </w:p>
    <w:p w:rsidR="00581130" w:rsidRPr="005322FF" w:rsidRDefault="00581130" w:rsidP="00581130">
      <w:pPr>
        <w:overflowPunct w:val="0"/>
        <w:autoSpaceDE w:val="0"/>
        <w:autoSpaceDN w:val="0"/>
        <w:adjustRightInd w:val="0"/>
        <w:ind w:right="333"/>
        <w:jc w:val="both"/>
        <w:textAlignment w:val="baseline"/>
        <w:rPr>
          <w:lang w:val="es-ES_tradnl" w:eastAsia="ro-RO"/>
        </w:rPr>
      </w:pPr>
      <w:r w:rsidRPr="005322FF">
        <w:rPr>
          <w:lang w:val="es-ES_tradnl" w:eastAsia="ro-RO"/>
        </w:rPr>
        <w:t xml:space="preserve">11.1 </w:t>
      </w:r>
      <w:r w:rsidRPr="005322FF">
        <w:rPr>
          <w:lang w:val="ro-RO"/>
        </w:rPr>
        <w:t>Prezentul acord-cadru poate inceta prin acordul partilor, prin act aditional</w:t>
      </w:r>
    </w:p>
    <w:p w:rsidR="00581130" w:rsidRPr="005322FF" w:rsidRDefault="00581130" w:rsidP="00581130">
      <w:pPr>
        <w:overflowPunct w:val="0"/>
        <w:autoSpaceDE w:val="0"/>
        <w:autoSpaceDN w:val="0"/>
        <w:adjustRightInd w:val="0"/>
        <w:ind w:right="333"/>
        <w:jc w:val="both"/>
        <w:textAlignment w:val="baseline"/>
        <w:rPr>
          <w:lang w:val="es-ES_tradnl" w:eastAsia="ro-RO"/>
        </w:rPr>
      </w:pPr>
      <w:r w:rsidRPr="005322FF">
        <w:rPr>
          <w:lang w:val="es-ES_tradnl" w:eastAsia="ro-RO"/>
        </w:rPr>
        <w:t>11.2</w:t>
      </w:r>
      <w:r w:rsidRPr="005322FF">
        <w:rPr>
          <w:b/>
          <w:lang w:val="es-ES_tradnl" w:eastAsia="ro-RO"/>
        </w:rPr>
        <w:t xml:space="preserve"> </w:t>
      </w:r>
      <w:r w:rsidRPr="005322FF">
        <w:rPr>
          <w:lang w:val="es-ES_tradnl" w:eastAsia="ro-RO"/>
        </w:rPr>
        <w:t>Nerespectarea obligatiilor asumate prin prezentul acord-cadru de catre una dintre parti (achizitorul si furnizorul), in mod culpabil, da dreptul partii lezate de a considera reziliat de plin drept acordul-cadru, fara a mai fi necesara nici o alta formalitate si punere in intarziere, existand doar obligatia ca partile sa se instiinteze in scris despre cauzele rezilierii.</w:t>
      </w:r>
    </w:p>
    <w:p w:rsidR="00581130" w:rsidRPr="005322FF" w:rsidRDefault="00581130" w:rsidP="00581130">
      <w:pPr>
        <w:widowControl w:val="0"/>
        <w:autoSpaceDE w:val="0"/>
        <w:autoSpaceDN w:val="0"/>
        <w:adjustRightInd w:val="0"/>
        <w:jc w:val="both"/>
        <w:rPr>
          <w:b/>
          <w:lang w:val="es-ES_tradnl"/>
        </w:rPr>
      </w:pPr>
    </w:p>
    <w:p w:rsidR="00581130" w:rsidRPr="005322FF" w:rsidRDefault="00581130" w:rsidP="00581130">
      <w:pPr>
        <w:widowControl w:val="0"/>
        <w:autoSpaceDE w:val="0"/>
        <w:autoSpaceDN w:val="0"/>
        <w:adjustRightInd w:val="0"/>
        <w:jc w:val="both"/>
        <w:rPr>
          <w:lang w:val="es-ES_tradnl"/>
        </w:rPr>
      </w:pPr>
      <w:r w:rsidRPr="005322FF">
        <w:rPr>
          <w:b/>
          <w:lang w:val="es-ES_tradnl"/>
        </w:rPr>
        <w:t>12 Amendamente</w:t>
      </w:r>
    </w:p>
    <w:p w:rsidR="00581130" w:rsidRPr="005322FF" w:rsidRDefault="00581130" w:rsidP="00581130">
      <w:pPr>
        <w:jc w:val="both"/>
        <w:rPr>
          <w:lang w:val="es-ES_tradnl"/>
        </w:rPr>
      </w:pPr>
      <w:r w:rsidRPr="005322FF">
        <w:rPr>
          <w:b/>
          <w:lang w:val="es-ES_tradnl"/>
        </w:rPr>
        <w:t xml:space="preserve">12.1 </w:t>
      </w:r>
      <w:r w:rsidRPr="005322FF">
        <w:rPr>
          <w:lang w:val="es-ES_tradnl"/>
        </w:rPr>
        <w:t>Partile au dreptul, pe toata durata de derulare a acordului-cadru, de a conveni, de comun acord, modificarea clauzelor acestuia, prin act aditional, cu excepţia preturilor unitare in lei fara TVA pentru servicii, care raman neschimbate.</w:t>
      </w:r>
    </w:p>
    <w:p w:rsidR="00581130" w:rsidRPr="005322FF" w:rsidRDefault="00581130" w:rsidP="00581130">
      <w:pPr>
        <w:jc w:val="both"/>
      </w:pPr>
      <w:r w:rsidRPr="005322FF">
        <w:t xml:space="preserve">Prezentul acord-cadru a fost redactat în două exemplare, câte unul pentru fiecare parte.    </w:t>
      </w:r>
    </w:p>
    <w:p w:rsidR="00581130" w:rsidRPr="005322FF" w:rsidRDefault="00581130" w:rsidP="00581130">
      <w:pPr>
        <w:jc w:val="both"/>
        <w:rPr>
          <w:lang w:val="ro-RO"/>
        </w:rPr>
      </w:pPr>
      <w:r w:rsidRPr="005322FF">
        <w:rPr>
          <w:lang w:val="ro-RO"/>
        </w:rPr>
        <w:t xml:space="preserve">   </w:t>
      </w:r>
    </w:p>
    <w:tbl>
      <w:tblPr>
        <w:tblW w:w="0" w:type="auto"/>
        <w:tblLook w:val="04A0" w:firstRow="1" w:lastRow="0" w:firstColumn="1" w:lastColumn="0" w:noHBand="0" w:noVBand="1"/>
      </w:tblPr>
      <w:tblGrid>
        <w:gridCol w:w="4618"/>
        <w:gridCol w:w="735"/>
        <w:gridCol w:w="3890"/>
      </w:tblGrid>
      <w:tr w:rsidR="00581130" w:rsidRPr="005322FF" w:rsidTr="00732406">
        <w:tc>
          <w:tcPr>
            <w:tcW w:w="5353" w:type="dxa"/>
            <w:gridSpan w:val="2"/>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Promitent-Achizitor</w:t>
            </w:r>
          </w:p>
        </w:tc>
        <w:tc>
          <w:tcPr>
            <w:tcW w:w="3890" w:type="dxa"/>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Promitent-Furnizor</w:t>
            </w:r>
          </w:p>
        </w:tc>
      </w:tr>
      <w:tr w:rsidR="00581130" w:rsidRPr="005322FF" w:rsidTr="00732406">
        <w:tc>
          <w:tcPr>
            <w:tcW w:w="5353" w:type="dxa"/>
            <w:gridSpan w:val="2"/>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FUNDAȚIA ROMANIAN ANGEL APPEAL</w:t>
            </w:r>
          </w:p>
        </w:tc>
        <w:tc>
          <w:tcPr>
            <w:tcW w:w="3890"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r>
      <w:tr w:rsidR="00581130" w:rsidRPr="005322FF" w:rsidTr="00732406">
        <w:tc>
          <w:tcPr>
            <w:tcW w:w="5353" w:type="dxa"/>
            <w:gridSpan w:val="2"/>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Director General</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Silvia Asandi</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 xml:space="preserve">Director Financiar </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Dana Marin</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tc>
        <w:tc>
          <w:tcPr>
            <w:tcW w:w="3890"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highlight w:val="yellow"/>
                <w:lang w:val="ro-RO"/>
              </w:rPr>
            </w:pPr>
            <w:r w:rsidRPr="005322FF">
              <w:rPr>
                <w:rFonts w:ascii="Times New Roman" w:hAnsi="Times New Roman"/>
                <w:sz w:val="24"/>
                <w:szCs w:val="24"/>
                <w:lang w:val="ro-RO"/>
              </w:rPr>
              <w:t>.....................</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iCs/>
                <w:sz w:val="24"/>
                <w:szCs w:val="24"/>
                <w:lang w:val="ro-RO"/>
              </w:rPr>
              <w:t>.....................</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tc>
      </w:tr>
      <w:tr w:rsidR="00581130" w:rsidRPr="005322FF" w:rsidTr="00732406">
        <w:tc>
          <w:tcPr>
            <w:tcW w:w="5353" w:type="dxa"/>
            <w:gridSpan w:val="2"/>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c>
          <w:tcPr>
            <w:tcW w:w="3890"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r>
      <w:tr w:rsidR="00581130" w:rsidRPr="005322FF" w:rsidTr="00732406">
        <w:tc>
          <w:tcPr>
            <w:tcW w:w="5353" w:type="dxa"/>
            <w:gridSpan w:val="2"/>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c>
          <w:tcPr>
            <w:tcW w:w="3890"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r>
      <w:tr w:rsidR="00581130" w:rsidRPr="005322FF" w:rsidTr="00732406">
        <w:tc>
          <w:tcPr>
            <w:tcW w:w="4618"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c>
          <w:tcPr>
            <w:tcW w:w="4625" w:type="dxa"/>
            <w:gridSpan w:val="2"/>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r>
    </w:tbl>
    <w:p w:rsidR="00581130" w:rsidRPr="005322FF" w:rsidRDefault="00581130" w:rsidP="00581130">
      <w:pPr>
        <w:jc w:val="center"/>
        <w:rPr>
          <w:b/>
          <w:lang w:val="ro-RO"/>
        </w:rPr>
      </w:pPr>
    </w:p>
    <w:p w:rsidR="00581130" w:rsidRPr="005322FF" w:rsidRDefault="00581130" w:rsidP="00581130">
      <w:pPr>
        <w:jc w:val="center"/>
        <w:rPr>
          <w:b/>
          <w:lang w:val="ro-RO"/>
        </w:rPr>
      </w:pPr>
      <w:r w:rsidRPr="005322FF">
        <w:rPr>
          <w:b/>
          <w:lang w:val="ro-RO"/>
        </w:rPr>
        <w:br w:type="page"/>
      </w:r>
      <w:r w:rsidRPr="005322FF">
        <w:rPr>
          <w:b/>
          <w:lang w:val="ro-RO"/>
        </w:rPr>
        <w:lastRenderedPageBreak/>
        <w:t>Anexa nr. 1 la</w:t>
      </w:r>
    </w:p>
    <w:p w:rsidR="00581130" w:rsidRPr="005322FF" w:rsidRDefault="00581130" w:rsidP="00581130">
      <w:pPr>
        <w:jc w:val="center"/>
        <w:rPr>
          <w:b/>
          <w:lang w:val="ro-RO"/>
        </w:rPr>
      </w:pPr>
      <w:r w:rsidRPr="005322FF">
        <w:rPr>
          <w:b/>
          <w:lang w:val="ro-RO"/>
        </w:rPr>
        <w:t>Acordul-cadru de furnizare</w:t>
      </w:r>
    </w:p>
    <w:p w:rsidR="00581130" w:rsidRPr="005322FF" w:rsidRDefault="00581130" w:rsidP="00581130">
      <w:pPr>
        <w:jc w:val="both"/>
        <w:rPr>
          <w:b/>
          <w:lang w:val="ro-RO"/>
        </w:rPr>
      </w:pPr>
    </w:p>
    <w:p w:rsidR="00581130" w:rsidRPr="005322FF" w:rsidRDefault="00581130" w:rsidP="00581130">
      <w:pPr>
        <w:pStyle w:val="DefaultText"/>
        <w:ind w:left="-180"/>
        <w:jc w:val="both"/>
        <w:rPr>
          <w:szCs w:val="24"/>
          <w:lang w:val="ro-RO"/>
        </w:rPr>
      </w:pPr>
    </w:p>
    <w:p w:rsidR="00581130" w:rsidRPr="005322FF" w:rsidRDefault="00581130" w:rsidP="00581130">
      <w:pPr>
        <w:pStyle w:val="DefaultText"/>
        <w:ind w:left="-181"/>
        <w:jc w:val="both"/>
        <w:rPr>
          <w:szCs w:val="24"/>
          <w:lang w:val="ro-RO"/>
        </w:rPr>
      </w:pPr>
      <w:r w:rsidRPr="005322FF">
        <w:rPr>
          <w:szCs w:val="24"/>
          <w:lang w:val="ro-RO"/>
        </w:rPr>
        <w:t xml:space="preserve">Anexa nr. 1 este constituită din oferta tehnică </w:t>
      </w:r>
      <w:r w:rsidR="005322FF">
        <w:rPr>
          <w:szCs w:val="24"/>
          <w:lang w:val="ro-RO"/>
        </w:rPr>
        <w:t xml:space="preserve">si financiara </w:t>
      </w:r>
      <w:r w:rsidRPr="005322FF">
        <w:rPr>
          <w:szCs w:val="24"/>
          <w:lang w:val="ro-RO"/>
        </w:rPr>
        <w:t xml:space="preserve">a </w:t>
      </w:r>
      <w:r w:rsidRPr="005322FF">
        <w:rPr>
          <w:bCs/>
          <w:szCs w:val="24"/>
          <w:lang w:val="ro-RO"/>
        </w:rPr>
        <w:t>…………..,</w:t>
      </w:r>
      <w:r w:rsidRPr="005322FF">
        <w:rPr>
          <w:szCs w:val="24"/>
          <w:lang w:val="ro-RO"/>
        </w:rPr>
        <w:t xml:space="preserve"> pentru produsele .............................. din cadrul proiectului </w:t>
      </w:r>
      <w:r w:rsidR="00C11881">
        <w:rPr>
          <w:szCs w:val="24"/>
          <w:lang w:val="ro-RO"/>
        </w:rPr>
        <w:t xml:space="preserve">ARAS </w:t>
      </w:r>
      <w:r w:rsidR="008327B5" w:rsidRPr="00C1592B">
        <w:rPr>
          <w:szCs w:val="24"/>
          <w:lang w:val="fr-FR"/>
        </w:rPr>
        <w:t xml:space="preserve">finantat de </w:t>
      </w:r>
      <w:r w:rsidR="008327B5" w:rsidRPr="00C1592B">
        <w:rPr>
          <w:rStyle w:val="Strong"/>
          <w:b w:val="0"/>
          <w:szCs w:val="24"/>
          <w:lang w:val="en"/>
        </w:rPr>
        <w:t>Fondul Global de Lupta Impotriva HIV/SIDA, Tuberculozei si Malariei, Grantul NFM (New Funding Model)</w:t>
      </w:r>
      <w:r w:rsidR="008327B5" w:rsidRPr="005322FF">
        <w:rPr>
          <w:rStyle w:val="Strong"/>
          <w:b w:val="0"/>
          <w:szCs w:val="24"/>
          <w:lang w:val="en"/>
        </w:rPr>
        <w:t>.</w:t>
      </w:r>
    </w:p>
    <w:p w:rsidR="00581130" w:rsidRPr="005322FF" w:rsidRDefault="00581130" w:rsidP="00581130">
      <w:pPr>
        <w:jc w:val="both"/>
        <w:rPr>
          <w:lang w:val="ro-RO"/>
        </w:rPr>
      </w:pPr>
    </w:p>
    <w:tbl>
      <w:tblPr>
        <w:tblW w:w="0" w:type="auto"/>
        <w:tblLook w:val="04A0" w:firstRow="1" w:lastRow="0" w:firstColumn="1" w:lastColumn="0" w:noHBand="0" w:noVBand="1"/>
      </w:tblPr>
      <w:tblGrid>
        <w:gridCol w:w="5070"/>
        <w:gridCol w:w="4173"/>
      </w:tblGrid>
      <w:tr w:rsidR="00581130" w:rsidRPr="005322FF" w:rsidTr="00732406">
        <w:tc>
          <w:tcPr>
            <w:tcW w:w="5070"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Promitent-Achizitor</w:t>
            </w:r>
          </w:p>
        </w:tc>
        <w:tc>
          <w:tcPr>
            <w:tcW w:w="4173" w:type="dxa"/>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Promitent-Furnizor</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r>
      <w:tr w:rsidR="00581130" w:rsidRPr="005322FF" w:rsidTr="00732406">
        <w:tc>
          <w:tcPr>
            <w:tcW w:w="5070"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FUNDAȚIA ROMANIAN ANGEL APPEAL</w:t>
            </w:r>
          </w:p>
        </w:tc>
        <w:tc>
          <w:tcPr>
            <w:tcW w:w="4173"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r w:rsidRPr="005322FF">
              <w:rPr>
                <w:rFonts w:ascii="Times New Roman" w:hAnsi="Times New Roman"/>
                <w:b/>
                <w:sz w:val="24"/>
                <w:szCs w:val="24"/>
                <w:lang w:val="ro-RO"/>
              </w:rPr>
              <w:t>....................</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b/>
                <w:sz w:val="24"/>
                <w:szCs w:val="24"/>
                <w:lang w:val="ro-RO"/>
              </w:rPr>
            </w:pPr>
          </w:p>
        </w:tc>
      </w:tr>
      <w:tr w:rsidR="00581130" w:rsidRPr="005322FF" w:rsidTr="00732406">
        <w:tc>
          <w:tcPr>
            <w:tcW w:w="5070" w:type="dxa"/>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Director General</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Silvia Asandi</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 xml:space="preserve">Director Financiar </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Dana Marin</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tc>
        <w:tc>
          <w:tcPr>
            <w:tcW w:w="4173" w:type="dxa"/>
            <w:hideMark/>
          </w:tcPr>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sz w:val="24"/>
                <w:szCs w:val="24"/>
                <w:lang w:val="ro-RO"/>
              </w:rPr>
              <w:t>.....................</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r w:rsidRPr="005322FF">
              <w:rPr>
                <w:rFonts w:ascii="Times New Roman" w:hAnsi="Times New Roman"/>
                <w:iCs/>
                <w:sz w:val="24"/>
                <w:szCs w:val="24"/>
                <w:lang w:val="ro-RO"/>
              </w:rPr>
              <w:t>....................</w:t>
            </w:r>
          </w:p>
          <w:p w:rsidR="00581130" w:rsidRPr="005322FF" w:rsidRDefault="00581130" w:rsidP="00732406">
            <w:pPr>
              <w:pStyle w:val="BodyText"/>
              <w:tabs>
                <w:tab w:val="left" w:pos="993"/>
                <w:tab w:val="left" w:pos="2694"/>
                <w:tab w:val="left" w:pos="5387"/>
                <w:tab w:val="left" w:pos="5803"/>
              </w:tabs>
              <w:spacing w:after="0"/>
              <w:jc w:val="both"/>
              <w:rPr>
                <w:rFonts w:ascii="Times New Roman" w:hAnsi="Times New Roman"/>
                <w:sz w:val="24"/>
                <w:szCs w:val="24"/>
                <w:lang w:val="ro-RO"/>
              </w:rPr>
            </w:pPr>
          </w:p>
        </w:tc>
      </w:tr>
    </w:tbl>
    <w:p w:rsidR="00581130" w:rsidRPr="005322FF" w:rsidRDefault="00581130" w:rsidP="00581130">
      <w:pPr>
        <w:jc w:val="both"/>
        <w:rPr>
          <w:lang w:val="ro-RO"/>
        </w:rPr>
      </w:pPr>
    </w:p>
    <w:p w:rsidR="00581130" w:rsidRPr="005322FF" w:rsidRDefault="00581130" w:rsidP="00C1592B">
      <w:pPr>
        <w:jc w:val="center"/>
      </w:pPr>
      <w:r w:rsidRPr="005322FF">
        <w:rPr>
          <w:lang w:val="ro-RO"/>
        </w:rPr>
        <w:br w:type="page"/>
      </w:r>
      <w:r w:rsidR="00C11881" w:rsidRPr="005322FF" w:rsidDel="00C11881">
        <w:rPr>
          <w:b/>
          <w:lang w:val="ro-RO"/>
        </w:rPr>
        <w:lastRenderedPageBreak/>
        <w:t xml:space="preserve"> </w:t>
      </w:r>
    </w:p>
    <w:p w:rsidR="00581130" w:rsidRPr="005322FF" w:rsidRDefault="00581130" w:rsidP="00581130">
      <w:r w:rsidRPr="005322FF">
        <w:rPr>
          <w:lang w:val="ro-RO"/>
        </w:rPr>
        <w:tab/>
      </w:r>
    </w:p>
    <w:sectPr w:rsidR="00581130" w:rsidRPr="005322FF" w:rsidSect="005322FF">
      <w:headerReference w:type="default" r:id="rId7"/>
      <w:footerReference w:type="default" r:id="rId8"/>
      <w:pgSz w:w="11907" w:h="16839" w:code="9"/>
      <w:pgMar w:top="1418" w:right="1418" w:bottom="1418" w:left="1418" w:header="720" w:footer="5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130" w:rsidRDefault="00581130" w:rsidP="00581130">
      <w:r>
        <w:separator/>
      </w:r>
    </w:p>
  </w:endnote>
  <w:endnote w:type="continuationSeparator" w:id="0">
    <w:p w:rsidR="00581130" w:rsidRDefault="00581130" w:rsidP="0058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A" w:rsidRDefault="00C1592B">
    <w:pPr>
      <w:pStyle w:val="Footer"/>
      <w:jc w:val="right"/>
    </w:pPr>
  </w:p>
  <w:p w:rsidR="009C0FCA" w:rsidRDefault="006B16F5">
    <w:pPr>
      <w:pStyle w:val="Footer"/>
      <w:jc w:val="right"/>
    </w:pPr>
    <w:r>
      <w:fldChar w:fldCharType="begin"/>
    </w:r>
    <w:r>
      <w:instrText xml:space="preserve"> PAGE   \* MERGEFORMAT </w:instrText>
    </w:r>
    <w:r>
      <w:fldChar w:fldCharType="separate"/>
    </w:r>
    <w:r w:rsidR="00C1592B">
      <w:rPr>
        <w:noProof/>
      </w:rPr>
      <w:t>3</w:t>
    </w:r>
    <w:r>
      <w:rPr>
        <w:noProof/>
      </w:rPr>
      <w:fldChar w:fldCharType="end"/>
    </w:r>
  </w:p>
  <w:p w:rsidR="009C0FCA" w:rsidRPr="00DB122F" w:rsidRDefault="00C1592B" w:rsidP="00DB1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130" w:rsidRDefault="00581130" w:rsidP="00581130">
      <w:r>
        <w:separator/>
      </w:r>
    </w:p>
  </w:footnote>
  <w:footnote w:type="continuationSeparator" w:id="0">
    <w:p w:rsidR="00581130" w:rsidRDefault="00581130" w:rsidP="00581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CA" w:rsidRDefault="00C1592B" w:rsidP="00471189">
    <w:pPr>
      <w:pStyle w:val="Header"/>
      <w:jc w:val="right"/>
    </w:pPr>
  </w:p>
  <w:p w:rsidR="009C0FCA" w:rsidRDefault="00C1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167874BA"/>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5221CAE"/>
    <w:multiLevelType w:val="hybridMultilevel"/>
    <w:tmpl w:val="88CC98F2"/>
    <w:lvl w:ilvl="0" w:tplc="E7AAE98E">
      <w:start w:val="1"/>
      <w:numFmt w:val="decimal"/>
      <w:lvlText w:val="%1."/>
      <w:lvlJc w:val="left"/>
      <w:pPr>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04"/>
    <w:rsid w:val="005322FF"/>
    <w:rsid w:val="00581130"/>
    <w:rsid w:val="006B16F5"/>
    <w:rsid w:val="008327B5"/>
    <w:rsid w:val="00C11881"/>
    <w:rsid w:val="00C1592B"/>
    <w:rsid w:val="00D46404"/>
    <w:rsid w:val="00E43E99"/>
    <w:rsid w:val="00F8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914D41-307B-4A4A-8429-B92DC384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130"/>
    <w:pPr>
      <w:tabs>
        <w:tab w:val="center" w:pos="4680"/>
        <w:tab w:val="right" w:pos="9360"/>
      </w:tabs>
    </w:pPr>
  </w:style>
  <w:style w:type="character" w:customStyle="1" w:styleId="HeaderChar">
    <w:name w:val="Header Char"/>
    <w:basedOn w:val="DefaultParagraphFont"/>
    <w:link w:val="Header"/>
    <w:uiPriority w:val="99"/>
    <w:rsid w:val="005811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1130"/>
    <w:pPr>
      <w:tabs>
        <w:tab w:val="center" w:pos="4680"/>
        <w:tab w:val="right" w:pos="9360"/>
      </w:tabs>
    </w:pPr>
  </w:style>
  <w:style w:type="character" w:customStyle="1" w:styleId="FooterChar">
    <w:name w:val="Footer Char"/>
    <w:basedOn w:val="DefaultParagraphFont"/>
    <w:link w:val="Footer"/>
    <w:uiPriority w:val="99"/>
    <w:rsid w:val="00581130"/>
    <w:rPr>
      <w:rFonts w:ascii="Times New Roman" w:eastAsia="Times New Roman" w:hAnsi="Times New Roman" w:cs="Times New Roman"/>
      <w:sz w:val="24"/>
      <w:szCs w:val="24"/>
    </w:rPr>
  </w:style>
  <w:style w:type="character" w:styleId="Hyperlink">
    <w:name w:val="Hyperlink"/>
    <w:uiPriority w:val="99"/>
    <w:unhideWhenUsed/>
    <w:rsid w:val="00581130"/>
    <w:rPr>
      <w:color w:val="0000FF"/>
      <w:u w:val="single"/>
    </w:rPr>
  </w:style>
  <w:style w:type="paragraph" w:styleId="ListParagraph">
    <w:name w:val="List Paragraph"/>
    <w:basedOn w:val="Normal"/>
    <w:uiPriority w:val="34"/>
    <w:qFormat/>
    <w:rsid w:val="00581130"/>
    <w:pPr>
      <w:ind w:left="720"/>
      <w:contextualSpacing/>
    </w:pPr>
  </w:style>
  <w:style w:type="paragraph" w:styleId="BodyText">
    <w:name w:val="Body Text"/>
    <w:basedOn w:val="Normal"/>
    <w:link w:val="BodyTextChar"/>
    <w:rsid w:val="00581130"/>
    <w:pPr>
      <w:suppressAutoHyphens/>
      <w:spacing w:after="120"/>
    </w:pPr>
    <w:rPr>
      <w:rFonts w:ascii="Arial Narrow" w:hAnsi="Arial Narrow"/>
      <w:sz w:val="20"/>
      <w:szCs w:val="20"/>
      <w:lang w:val="x-none" w:eastAsia="ar-SA"/>
    </w:rPr>
  </w:style>
  <w:style w:type="character" w:customStyle="1" w:styleId="BodyTextChar">
    <w:name w:val="Body Text Char"/>
    <w:basedOn w:val="DefaultParagraphFont"/>
    <w:link w:val="BodyText"/>
    <w:rsid w:val="00581130"/>
    <w:rPr>
      <w:rFonts w:ascii="Arial Narrow" w:eastAsia="Times New Roman" w:hAnsi="Arial Narrow" w:cs="Times New Roman"/>
      <w:sz w:val="20"/>
      <w:szCs w:val="20"/>
      <w:lang w:val="x-none" w:eastAsia="ar-SA"/>
    </w:rPr>
  </w:style>
  <w:style w:type="paragraph" w:customStyle="1" w:styleId="DefaultText">
    <w:name w:val="Default Text"/>
    <w:basedOn w:val="Normal"/>
    <w:link w:val="DefaultTextCaracter"/>
    <w:rsid w:val="00581130"/>
    <w:rPr>
      <w:noProof/>
      <w:szCs w:val="20"/>
    </w:rPr>
  </w:style>
  <w:style w:type="table" w:styleId="TableGrid">
    <w:name w:val="Table Grid"/>
    <w:basedOn w:val="TableNormal"/>
    <w:rsid w:val="0058113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581130"/>
    <w:rPr>
      <w:rFonts w:ascii="Times New Roman" w:eastAsia="Times New Roman" w:hAnsi="Times New Roman" w:cs="Times New Roman"/>
      <w:noProof/>
      <w:sz w:val="24"/>
      <w:szCs w:val="20"/>
    </w:rPr>
  </w:style>
  <w:style w:type="paragraph" w:customStyle="1" w:styleId="Char">
    <w:name w:val="Char"/>
    <w:basedOn w:val="Normal"/>
    <w:rsid w:val="00581130"/>
    <w:rPr>
      <w:rFonts w:ascii="Arial" w:hAnsi="Arial"/>
      <w:lang w:val="pl-PL" w:eastAsia="pl-PL"/>
    </w:rPr>
  </w:style>
  <w:style w:type="character" w:styleId="Strong">
    <w:name w:val="Strong"/>
    <w:basedOn w:val="DefaultParagraphFont"/>
    <w:uiPriority w:val="22"/>
    <w:qFormat/>
    <w:rsid w:val="008327B5"/>
    <w:rPr>
      <w:b/>
      <w:bCs/>
    </w:rPr>
  </w:style>
  <w:style w:type="paragraph" w:styleId="BalloonText">
    <w:name w:val="Balloon Text"/>
    <w:basedOn w:val="Normal"/>
    <w:link w:val="BalloonTextChar"/>
    <w:uiPriority w:val="99"/>
    <w:semiHidden/>
    <w:unhideWhenUsed/>
    <w:rsid w:val="005322FF"/>
    <w:rPr>
      <w:rFonts w:ascii="Tahoma" w:hAnsi="Tahoma" w:cs="Tahoma"/>
      <w:sz w:val="16"/>
      <w:szCs w:val="16"/>
    </w:rPr>
  </w:style>
  <w:style w:type="character" w:customStyle="1" w:styleId="BalloonTextChar">
    <w:name w:val="Balloon Text Char"/>
    <w:basedOn w:val="DefaultParagraphFont"/>
    <w:link w:val="BalloonText"/>
    <w:uiPriority w:val="99"/>
    <w:semiHidden/>
    <w:rsid w:val="005322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Bratosin</dc:creator>
  <cp:keywords/>
  <dc:description/>
  <cp:lastModifiedBy>Mariana Bratosin</cp:lastModifiedBy>
  <cp:revision>8</cp:revision>
  <dcterms:created xsi:type="dcterms:W3CDTF">2015-09-29T08:48:00Z</dcterms:created>
  <dcterms:modified xsi:type="dcterms:W3CDTF">2015-09-30T13:46:00Z</dcterms:modified>
</cp:coreProperties>
</file>